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3476466</wp:posOffset>
            </wp:positionH>
            <wp:positionV relativeFrom="page">
              <wp:posOffset>720000</wp:posOffset>
            </wp:positionV>
            <wp:extent cx="953459" cy="9534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вставлене-зображенн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вставлене-зображення.jpeg" descr="вставлене-зображення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59" cy="953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rStyle w:val="Немає"/>
          <w:rFonts w:ascii="Arial Black" w:cs="Arial Black" w:hAnsi="Arial Black" w:eastAsia="Arial Black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"http://curlymanagement.com"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curlymanagement</w:t>
      </w:r>
      <w:r>
        <w:rPr>
          <w:rStyle w:val="Немає"/>
          <w:rFonts w:ascii="Arial Black" w:hAnsi="Arial Black"/>
          <w:sz w:val="20"/>
          <w:szCs w:val="20"/>
          <w:u w:val="single"/>
          <w:rtl w:val="0"/>
        </w:rPr>
        <w:t>.</w:t>
      </w:r>
      <w:r>
        <w:rPr>
          <w:rStyle w:val="Hyperlink.0"/>
          <w:rtl w:val="0"/>
          <w:lang w:val="en-US"/>
        </w:rPr>
        <w:t>com</w:t>
      </w:r>
      <w:r>
        <w:rPr/>
        <w:fldChar w:fldCharType="end" w:fldLock="0"/>
      </w:r>
      <w:r>
        <w:rPr>
          <w:rStyle w:val="Немає"/>
          <w:rFonts w:ascii="Arial Black" w:hAnsi="Arial Black"/>
          <w:sz w:val="20"/>
          <w:szCs w:val="20"/>
          <w:rtl w:val="0"/>
        </w:rPr>
        <w:t xml:space="preserve">                                                                                                                     /                        +380635700564</w:t>
      </w:r>
    </w:p>
    <w:p>
      <w:pPr>
        <w:pStyle w:val="Body Text"/>
        <w:rPr>
          <w:rStyle w:val="Немає"/>
          <w:rFonts w:ascii="Arial Black" w:cs="Arial Black" w:hAnsi="Arial Black" w:eastAsia="Arial Black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"mailto:curlymanagement@gmail.com"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curlymanagement</w:t>
      </w:r>
      <w:r>
        <w:rPr>
          <w:rStyle w:val="Немає"/>
          <w:rFonts w:ascii="Arial Black" w:hAnsi="Arial Black"/>
          <w:sz w:val="20"/>
          <w:szCs w:val="20"/>
          <w:u w:val="single"/>
          <w:rtl w:val="0"/>
        </w:rPr>
        <w:t>@</w:t>
      </w:r>
      <w:r>
        <w:rPr>
          <w:rStyle w:val="Hyperlink.0"/>
          <w:rtl w:val="0"/>
          <w:lang w:val="en-US"/>
        </w:rPr>
        <w:t>gmail</w:t>
      </w:r>
      <w:r>
        <w:rPr>
          <w:rStyle w:val="Немає"/>
          <w:rFonts w:ascii="Arial Black" w:hAnsi="Arial Black"/>
          <w:sz w:val="20"/>
          <w:szCs w:val="20"/>
          <w:u w:val="single"/>
          <w:rtl w:val="0"/>
        </w:rPr>
        <w:t>.</w:t>
      </w:r>
      <w:r>
        <w:rPr>
          <w:rStyle w:val="Hyperlink.0"/>
          <w:rtl w:val="0"/>
          <w:lang w:val="en-US"/>
        </w:rPr>
        <w:t>com</w:t>
      </w:r>
      <w:r>
        <w:rPr/>
        <w:fldChar w:fldCharType="end" w:fldLock="0"/>
      </w:r>
      <w:r>
        <w:rPr>
          <w:rStyle w:val="Немає"/>
          <w:rFonts w:ascii="Arial Black" w:hAnsi="Arial Black"/>
          <w:sz w:val="20"/>
          <w:szCs w:val="20"/>
          <w:rtl w:val="0"/>
        </w:rPr>
        <w:t xml:space="preserve"> </w:t>
      </w:r>
    </w:p>
    <w:p>
      <w:pPr>
        <w:pStyle w:val="Body Text"/>
        <w:rPr>
          <w:rStyle w:val="Немає"/>
          <w:rFonts w:ascii="Arial Black" w:cs="Arial Black" w:hAnsi="Arial Black" w:eastAsia="Arial Black"/>
          <w:sz w:val="36"/>
          <w:szCs w:val="36"/>
        </w:rPr>
      </w:pPr>
    </w:p>
    <w:p>
      <w:pPr>
        <w:pStyle w:val="Body Text"/>
        <w:rPr>
          <w:rStyle w:val="Немає"/>
          <w:rFonts w:ascii="Arial Black" w:cs="Arial Black" w:hAnsi="Arial Black" w:eastAsia="Arial Black"/>
          <w:sz w:val="36"/>
          <w:szCs w:val="36"/>
        </w:rPr>
      </w:pPr>
      <w:r>
        <w:rPr>
          <w:rStyle w:val="Немає"/>
          <w:rFonts w:ascii="Arial Black" w:hAnsi="Arial Black"/>
          <w:sz w:val="36"/>
          <w:szCs w:val="36"/>
          <w:rtl w:val="0"/>
        </w:rPr>
        <w:t xml:space="preserve">  </w:t>
      </w:r>
    </w:p>
    <w:p>
      <w:pPr>
        <w:pStyle w:val="Body Text"/>
        <w:jc w:val="center"/>
        <w:rPr>
          <w:rStyle w:val="Немає"/>
          <w:rFonts w:ascii="Arial Black" w:cs="Arial Black" w:hAnsi="Arial Black" w:eastAsia="Arial Black"/>
          <w:sz w:val="28"/>
          <w:szCs w:val="28"/>
        </w:rPr>
      </w:pPr>
      <w:r>
        <w:rPr>
          <w:rStyle w:val="Немає"/>
          <w:rFonts w:ascii="Arial Black" w:hAnsi="Arial Black" w:hint="default"/>
          <w:sz w:val="28"/>
          <w:szCs w:val="28"/>
          <w:rtl w:val="0"/>
        </w:rPr>
        <w:t xml:space="preserve">Орієнтовна програма з розробки політик та процедур </w:t>
      </w:r>
    </w:p>
    <w:p>
      <w:pPr>
        <w:pStyle w:val="Body Text"/>
        <w:rPr>
          <w:rStyle w:val="Немає"/>
          <w:rFonts w:ascii="Arial" w:cs="Arial" w:hAnsi="Arial" w:eastAsia="Arial"/>
          <w:sz w:val="28"/>
          <w:szCs w:val="28"/>
        </w:rPr>
      </w:pPr>
    </w:p>
    <w:tbl>
      <w:tblPr>
        <w:tblW w:w="73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34"/>
        <w:gridCol w:w="4322"/>
        <w:gridCol w:w="2373"/>
      </w:tblGrid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п</w:t>
            </w:r>
            <w:r>
              <w:rPr>
                <w:rStyle w:val="Немає"/>
                <w:rFonts w:ascii="Arial" w:hAnsi="Arial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/</w:t>
            </w:r>
            <w:r>
              <w:rPr>
                <w:rStyle w:val="Немає"/>
                <w:rFonts w:ascii="Arial" w:hAnsi="Arial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н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Послуга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кількість год</w:t>
            </w:r>
            <w:r>
              <w:rPr>
                <w:rStyle w:val="Немає"/>
                <w:rFonts w:ascii="Arial" w:hAnsi="Arial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Попередня консультація</w:t>
            </w: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вивчення поточної діяльності Організації  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5*</w:t>
            </w:r>
          </w:p>
        </w:tc>
      </w:tr>
      <w:tr>
        <w:tblPrEx>
          <w:shd w:val="clear" w:color="auto" w:fill="cadfff"/>
        </w:tblPrEx>
        <w:trPr>
          <w:trHeight w:val="128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Розробка Політики щодо запобігання корупції та вирішення конфлікту інтересів Громадської організації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6*</w:t>
            </w:r>
          </w:p>
        </w:tc>
      </w:tr>
      <w:tr>
        <w:tblPrEx>
          <w:shd w:val="clear" w:color="auto" w:fill="cadfff"/>
        </w:tblPrEx>
        <w:trPr>
          <w:trHeight w:val="64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Розробка Процедури фінансового менеджменту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6*</w:t>
            </w:r>
          </w:p>
        </w:tc>
      </w:tr>
      <w:tr>
        <w:tblPrEx>
          <w:shd w:val="clear" w:color="auto" w:fill="cadfff"/>
        </w:tblPrEx>
        <w:trPr>
          <w:trHeight w:val="64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Розробка Процедури фінансового менеджменту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8*</w:t>
            </w:r>
          </w:p>
        </w:tc>
      </w:tr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Проміжна консультація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64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Розробка Комунікаційної Політики 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8**</w:t>
            </w:r>
          </w:p>
        </w:tc>
      </w:tr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Розробка Гендерної Політики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5*</w:t>
            </w:r>
          </w:p>
        </w:tc>
      </w:tr>
      <w:tr>
        <w:tblPrEx>
          <w:shd w:val="clear" w:color="auto" w:fill="cadfff"/>
        </w:tblPrEx>
        <w:trPr>
          <w:trHeight w:val="64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Розробка Політики Недискримінації та рівності 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5*</w:t>
            </w:r>
          </w:p>
        </w:tc>
      </w:tr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Розробка Політики із закупівель 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6*</w:t>
            </w:r>
          </w:p>
        </w:tc>
      </w:tr>
      <w:tr>
        <w:tblPrEx>
          <w:shd w:val="clear" w:color="auto" w:fill="cadfff"/>
        </w:tblPrEx>
        <w:trPr>
          <w:trHeight w:val="96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9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Розробка плану імплементації Документів в операційну діяльність Організації 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4*</w:t>
            </w:r>
          </w:p>
        </w:tc>
      </w:tr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Консультація по імплементації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sz w:val="28"/>
                <w:szCs w:val="28"/>
                <w:shd w:val="nil" w:color="auto" w:fill="auto"/>
                <w:rtl w:val="0"/>
              </w:rPr>
              <w:t>1*</w:t>
            </w:r>
          </w:p>
        </w:tc>
      </w:tr>
      <w:tr>
        <w:tblPrEx>
          <w:shd w:val="clear" w:color="auto" w:fill="cadfff"/>
        </w:tblPrEx>
        <w:trPr>
          <w:trHeight w:val="321" w:hRule="atLeast"/>
        </w:trPr>
        <w:tc>
          <w:tcPr>
            <w:tcW w:type="dxa" w:w="49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center"/>
            </w:pPr>
            <w:r>
              <w:rPr>
                <w:rStyle w:val="Немає"/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Всього годин</w:t>
            </w:r>
          </w:p>
        </w:tc>
        <w:tc>
          <w:tcPr>
            <w:tcW w:type="dxa" w:w="2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55</w:t>
            </w:r>
          </w:p>
        </w:tc>
      </w:tr>
      <w:tr>
        <w:tblPrEx>
          <w:shd w:val="clear" w:color="auto" w:fill="cadfff"/>
        </w:tblPrEx>
        <w:trPr>
          <w:trHeight w:val="282" w:hRule="atLeast"/>
        </w:trPr>
        <w:tc>
          <w:tcPr>
            <w:tcW w:type="dxa" w:w="7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* </w:t>
            </w:r>
            <w:r>
              <w:rPr>
                <w:rStyle w:val="Немає"/>
                <w:rFonts w:ascii="Arial" w:hAnsi="Arial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з урахуванням часу на доопрацювання після консультацій </w:t>
            </w:r>
          </w:p>
        </w:tc>
      </w:tr>
      <w:tr>
        <w:tblPrEx>
          <w:shd w:val="clear" w:color="auto" w:fill="cadfff"/>
        </w:tblPrEx>
        <w:trPr>
          <w:trHeight w:val="562" w:hRule="atLeast"/>
        </w:trPr>
        <w:tc>
          <w:tcPr>
            <w:tcW w:type="dxa" w:w="732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rStyle w:val="Немає"/>
                <w:rFonts w:ascii="Arial" w:hAnsi="Arial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** </w:t>
            </w:r>
            <w:r>
              <w:rPr>
                <w:rStyle w:val="Немає"/>
                <w:rFonts w:ascii="Arial" w:hAnsi="Arial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час може бути змінено в залежності від наявності</w:t>
            </w:r>
            <w:r>
              <w:rPr>
                <w:rStyle w:val="Немає"/>
                <w:rFonts w:ascii="Arial" w:hAnsi="Arial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Style w:val="Немає"/>
                <w:rFonts w:ascii="Arial" w:hAnsi="Arial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відсутності Комунікаційної стратегії</w:t>
            </w:r>
          </w:p>
        </w:tc>
      </w:tr>
    </w:tbl>
    <w:p>
      <w:pPr>
        <w:pStyle w:val="Body Text"/>
        <w:widowControl w:val="0"/>
        <w:jc w:val="center"/>
        <w:rPr>
          <w:rStyle w:val="Немає"/>
          <w:rFonts w:ascii="Arial" w:cs="Arial" w:hAnsi="Arial" w:eastAsia="Arial"/>
          <w:sz w:val="28"/>
          <w:szCs w:val="28"/>
        </w:rPr>
      </w:pPr>
    </w:p>
    <w:p>
      <w:pPr>
        <w:pStyle w:val="Body Text"/>
        <w:rPr>
          <w:rStyle w:val="Немає"/>
          <w:rFonts w:ascii="Arial" w:cs="Arial" w:hAnsi="Arial" w:eastAsia="Arial"/>
          <w:sz w:val="28"/>
          <w:szCs w:val="28"/>
        </w:rPr>
      </w:pPr>
    </w:p>
    <w:p>
      <w:pPr>
        <w:pStyle w:val="Body Text"/>
      </w:pPr>
      <w:r>
        <w:rPr>
          <w:rStyle w:val="Немає"/>
          <w:rFonts w:ascii="Arial" w:cs="Arial" w:hAnsi="Arial" w:eastAsia="Arial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rFonts w:ascii="Arial Black" w:hAnsi="Arial Black"/>
      <w:sz w:val="20"/>
      <w:szCs w:val="20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